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F9" w:rsidRPr="005C21DB" w:rsidRDefault="00314FF9" w:rsidP="005C2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DB">
        <w:rPr>
          <w:rFonts w:ascii="Times New Roman" w:hAnsi="Times New Roman" w:cs="Times New Roman"/>
          <w:b/>
          <w:sz w:val="24"/>
          <w:szCs w:val="24"/>
        </w:rPr>
        <w:t>Урок на тему «Экосистемы. Понятие о биогеоценозе (БГЦ)»</w:t>
      </w:r>
    </w:p>
    <w:p w:rsidR="00314FF9" w:rsidRPr="005C21DB" w:rsidRDefault="00314FF9" w:rsidP="00314FF9">
      <w:pPr>
        <w:rPr>
          <w:rFonts w:ascii="Times New Roman" w:hAnsi="Times New Roman" w:cs="Times New Roman"/>
          <w:b/>
          <w:sz w:val="24"/>
          <w:szCs w:val="24"/>
        </w:rPr>
      </w:pPr>
    </w:p>
    <w:p w:rsidR="00314FF9" w:rsidRPr="005C21DB" w:rsidRDefault="00314FF9" w:rsidP="00314F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21DB">
        <w:rPr>
          <w:rFonts w:ascii="Times New Roman" w:hAnsi="Times New Roman" w:cs="Times New Roman"/>
          <w:sz w:val="24"/>
          <w:szCs w:val="24"/>
          <w:u w:val="single"/>
        </w:rPr>
        <w:t>Задание 1. Посмотрите внимательно ролик с объяснением:  что такое экологическая</w:t>
      </w:r>
      <w:r w:rsidRPr="005C21DB">
        <w:rPr>
          <w:rFonts w:ascii="Times New Roman" w:hAnsi="Times New Roman" w:cs="Times New Roman"/>
          <w:sz w:val="24"/>
          <w:szCs w:val="24"/>
        </w:rPr>
        <w:t xml:space="preserve"> </w:t>
      </w:r>
      <w:r w:rsidRPr="005C21DB">
        <w:rPr>
          <w:rFonts w:ascii="Times New Roman" w:hAnsi="Times New Roman" w:cs="Times New Roman"/>
          <w:sz w:val="24"/>
          <w:szCs w:val="24"/>
          <w:u w:val="single"/>
        </w:rPr>
        <w:t>система, что такое биогеоценозы</w:t>
      </w:r>
    </w:p>
    <w:p w:rsidR="00314FF9" w:rsidRDefault="00314FF9" w:rsidP="00314FF9"/>
    <w:p w:rsidR="009867C2" w:rsidRDefault="009867C2" w:rsidP="00314FF9">
      <w:hyperlink r:id="rId7" w:history="1">
        <w:r w:rsidR="00314FF9">
          <w:rPr>
            <w:rStyle w:val="a3"/>
          </w:rPr>
          <w:t>https://yandex.ru/video/preview/?filmId=9466203093034952944&amp;parent-reqid=1586633824069144-1724540584725735594100328-production-app-host-sas-web-yp-110&amp;path=wizard&amp;text=%D0%9F%D0%BE%D0%BD%D1%8F%D1%82%D0%B8%D0%B5+%D0%BE+%D0%B1%D0%B8%D0%BE%D0%B3%D0%B5%D0%BE%D1%86%D0%B5%D0%BD%D0%BE%D0%B7%D0%B0%D1%85</w:t>
        </w:r>
      </w:hyperlink>
    </w:p>
    <w:p w:rsidR="00314FF9" w:rsidRPr="005C21DB" w:rsidRDefault="00314FF9" w:rsidP="00314FF9">
      <w:p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Ответьте </w:t>
      </w:r>
      <w:r w:rsidR="009E0FC3">
        <w:rPr>
          <w:rFonts w:ascii="Times New Roman" w:hAnsi="Times New Roman" w:cs="Times New Roman"/>
          <w:sz w:val="24"/>
          <w:szCs w:val="24"/>
        </w:rPr>
        <w:t xml:space="preserve">письменно в тетради </w:t>
      </w:r>
      <w:r w:rsidRPr="005C21DB">
        <w:rPr>
          <w:rFonts w:ascii="Times New Roman" w:hAnsi="Times New Roman" w:cs="Times New Roman"/>
          <w:sz w:val="24"/>
          <w:szCs w:val="24"/>
        </w:rPr>
        <w:t>на вопросы:</w:t>
      </w:r>
    </w:p>
    <w:p w:rsidR="00314FF9" w:rsidRPr="005C21DB" w:rsidRDefault="00AE5936" w:rsidP="00AE59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Приведите примеры природных сообществ.</w:t>
      </w:r>
    </w:p>
    <w:p w:rsidR="00AE5936" w:rsidRPr="005C21DB" w:rsidRDefault="00AE5936" w:rsidP="00AE59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Чт</w:t>
      </w:r>
      <w:r w:rsidR="009E0FC3">
        <w:rPr>
          <w:rFonts w:ascii="Times New Roman" w:hAnsi="Times New Roman" w:cs="Times New Roman"/>
          <w:sz w:val="24"/>
          <w:szCs w:val="24"/>
        </w:rPr>
        <w:t>о такое экологическая система (</w:t>
      </w:r>
      <w:r w:rsidRPr="005C21DB">
        <w:rPr>
          <w:rFonts w:ascii="Times New Roman" w:hAnsi="Times New Roman" w:cs="Times New Roman"/>
          <w:sz w:val="24"/>
          <w:szCs w:val="24"/>
        </w:rPr>
        <w:t>экосистема)? Приведите примеры экосистем.</w:t>
      </w:r>
    </w:p>
    <w:p w:rsidR="00AE5936" w:rsidRPr="005C21DB" w:rsidRDefault="00AE5936" w:rsidP="00AE593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Опишите известные факторы экосистемы липового леса. Что или кто составляет биотической компонент этой экосистемы?</w:t>
      </w:r>
    </w:p>
    <w:p w:rsidR="00314FF9" w:rsidRPr="005C21DB" w:rsidRDefault="00314FF9" w:rsidP="00314F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21DB">
        <w:rPr>
          <w:rFonts w:ascii="Times New Roman" w:hAnsi="Times New Roman" w:cs="Times New Roman"/>
          <w:sz w:val="24"/>
          <w:szCs w:val="24"/>
          <w:u w:val="single"/>
        </w:rPr>
        <w:t>Задание 2. Прочитайте внимательно материал</w:t>
      </w:r>
      <w:r w:rsidR="00AE5936" w:rsidRPr="005C21DB">
        <w:rPr>
          <w:rFonts w:ascii="Times New Roman" w:hAnsi="Times New Roman" w:cs="Times New Roman"/>
          <w:sz w:val="24"/>
          <w:szCs w:val="24"/>
          <w:u w:val="single"/>
        </w:rPr>
        <w:t xml:space="preserve"> по биогеоценозам. В тетрадь внесите записи по времени возникновения в науке понятий,  имена ученых, определения понятий, схемы.</w:t>
      </w:r>
    </w:p>
    <w:p w:rsidR="00314FF9" w:rsidRDefault="00314FF9" w:rsidP="00CE17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314FF9">
        <w:rPr>
          <w:rFonts w:ascii="Times New Roman" w:eastAsia="Times New Roman" w:hAnsi="Times New Roman" w:cs="Times New Roman"/>
          <w:b/>
          <w:bCs/>
          <w:sz w:val="34"/>
          <w:szCs w:val="34"/>
        </w:rPr>
        <w:t>Биогеоценозы</w:t>
      </w:r>
    </w:p>
    <w:p w:rsidR="009E0FC3" w:rsidRPr="00314FF9" w:rsidRDefault="009E0FC3" w:rsidP="00CE17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314FF9" w:rsidRPr="00314FF9" w:rsidRDefault="00314FF9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Биогеоценоз (экосистема) является важнейшим элементом биосферы, основным функциональным элементом. Экосистема объединяет все организмы, обитающие на данной территории. Взаимодействие биотического сообщества со средой образует биотические структуры, круговорот вещества между живой и неживой частью экосистемы. Понятие биогеоценоза возникло в 30-е годы XX века. Английский геоботаник Тэнсли </w:t>
      </w:r>
      <w:r w:rsidR="009E0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1935 году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определил биогеоценоз как целостное образование в биосфере, в котором организмы и неорганические факторы выступают компонентами в относительно устойчивом состоянии.</w:t>
      </w:r>
      <w:r w:rsidR="009E0FC3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717" w:rsidRPr="00314FF9" w:rsidRDefault="00314FF9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БИОГЕОЦЕНОЗ — однородная экологическая система (участок леса, луга, степи). Однородный участок агроэкосистемы называется агробиогеоценозом.</w:t>
      </w:r>
      <w:r w:rsidR="005C21DB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Биогеоценозы земного шара образуют биогеоценотический покров, который изучает биогеоценология. Основал эту науку выдающийся русский ученый В. Н. Сукачев. Совокупность всех биогеоценозов нашей планеты создает гигантскую экосистему — биосферу. Биогеоценозы могут формироваться на любом участке земной поверхности — на суше и на воде. Они бывают степными, болотными, луговыми и т. д. Большое значение в функционировании биосферы имеют гибробиоценозы. Участки земной поверхности, покрытые культурными растениями, называются агрофитоценозами.</w:t>
      </w:r>
      <w:r w:rsidR="005C2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E1717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В 1944 г. В.Н. Сукачевым был предложен термин «биогеоценоз», который не является полным синонимом экосистемы. Так, в ряде работ под биогеоценозом понимают сообщество растений, животных, микроорганизмов на определенном участке земной поверхности с его микроклиматом, геологическим строением, ландшафтом, почвой, водным режимом. Таким образом, экосистема—понятие более широкое, так как биогеоценоз — это только наземное образование с определенными границами (рис. 38).</w:t>
      </w:r>
      <w:r w:rsidR="005C21DB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717" w:rsidRPr="00314FF9" w:rsidRDefault="00CE1717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теории В. Н. Сукачева — создателя биогеоценологии (науки о биогеоценозах), биогеоценозы состоят из двух основных компонентов — биоценоза (сообщества организмов) и экотопа (косной среды). В состав биоценоза входят растения, образующие растительное сообщество (фитоценоз), животные и микроорганизмы. Среда, в которой обитают организмы (экотоп), определяется условиями климата, гидрологией, почвообразующей породой, почвой. Между организмами и их средой в биогеоценозах существуют сложные взаимосвязи (рис. 64). Биогеоценозы иногда называют экосистемами.</w:t>
      </w:r>
      <w:r w:rsidR="005C21DB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717" w:rsidRDefault="00314FF9" w:rsidP="009009F3">
      <w:pPr>
        <w:spacing w:after="2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Биогеоценозы крайне разнообразны и в различной степени насыщены живыми организмами. </w:t>
      </w:r>
    </w:p>
    <w:p w:rsidR="00CE1717" w:rsidRPr="005C21DB" w:rsidRDefault="00CE1717" w:rsidP="00CE1717">
      <w:pPr>
        <w:spacing w:after="24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биогеоценоза.</w:t>
      </w:r>
    </w:p>
    <w:p w:rsidR="00314FF9" w:rsidRDefault="00314FF9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БИОГЕОЦЕНОЗ — включает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биоценоз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биотоп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(экотоп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). Биоценоз предоставляет собой совокупность растений, животных, микроорганизмов , населяющих определенный биотоп.</w:t>
      </w:r>
      <w:r w:rsidR="008C44E5" w:rsidRPr="008C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4E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биогеоценозов: лес — лесной биогеоценоз, т. е. лесные растения, животные, микроорганизмы, почва, вода, воздух и т. д.; озеро во всей своей совокупности — озерный биогеоценоз.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Биогеоценозы наземные и водные (все материки, моря и океаны) формируют биосферу, представляющую собой общеземную (глобальную) экологическую систему. Биогеоценоз - сложная природная система, совокупность однородных природных условий (атмосферы, горной породы, почвы и гидрологических условий, растительности, животного мира и мира микроорганизмов), имеющая свою специфику взаимодействия слагающих ее компонентов и определенный тип обмена веществом и энергией.</w:t>
      </w:r>
      <w:r w:rsidR="00CE1717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4E5" w:rsidRPr="00314FF9" w:rsidRDefault="00306CC5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неоднородность биогеоценоза связана с особенностями мезо- и микрорельефа, влияющего на структуру почвы, динамику влажности, температуры, освещенности. Поэтому растения в пределах биогеоценоза (или синузии) могут расти группами и в то же время чередоваться с более или менее открытыми полянами (например, из-за "окон" в пологе крон высоких деревьев).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добных случаях говорят о парцел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лярности биогеоценоза (от франц. парцелле - клетка).</w:t>
      </w:r>
      <w:r w:rsidR="00F05B8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4E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функция почвы — это обеспечение жизни на Земле. Это определяется тем, что именно в почве концентрируются необходимые организмам биогенные элементы в доступных им формах химических соединений. Кроме того, почва обладает способностью аккумулировать необходимый для жизнедеятельности продуцентов биогеоценозов запасы воды, также в доступной им форме, равномерно обеспечивая их водой в течение всего периода вегетации. Наконец, почва служит оптимальной средой для укоренения наземных растений, обитания многочисленных беспозвоночных и позвоночных животных, разнообразных микроорганизмов. Собственно эта функция и определяет понятие «плодородие почв».</w:t>
      </w:r>
      <w:r w:rsidR="009E0FC3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4FF9" w:rsidRPr="00314FF9" w:rsidRDefault="00314FF9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Биогеоценоз состоит из четырех категорий взаимодействующих слагаемых: продуцентов</w:t>
      </w:r>
      <w:r w:rsidR="00F0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(растения, организмы-фотосинтетики, автотрофы)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консументов</w:t>
      </w:r>
      <w:r w:rsidR="00F0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(животные, гетеротрофы)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, редуцентов</w:t>
      </w:r>
      <w:r w:rsidR="00F0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(разрушители органического вещества, грибы, бактерии)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неживых тел.</w:t>
      </w:r>
      <w:r w:rsidR="00CE1717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B8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элементам модели биогеоценоза</w:t>
      </w:r>
      <w:r w:rsidR="00F0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леса</w:t>
      </w:r>
      <w:r w:rsidR="00F05B8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отнести: редуценты (фауна, почвы), лес (рас</w:t>
      </w:r>
      <w:r w:rsidR="00F05B85"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тительное сообщество), консумен</w:t>
      </w:r>
      <w:r w:rsidR="00F05B8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(потребители растительной биомассы), неорганические вещества в почве и атмосфере (вода, кислород, азот и т.д.), используемые в процессе жизнедеятельности растений.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биогеоценоз характеризуется видовым разнообразием, численностью и плотностью популяции каждого вида, биомассой и продуктивностью. Численность определяется поголовьем животных или количеством растений на данной</w:t>
      </w:r>
      <w:r w:rsidRPr="00314FF9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(бассейн реки, акватория моря и пр.). Эта мера обилия популяции. Плотность характеризуется числом особей, приходящихся на единицу площади. Например, 800 деревьев на 1.га леса или количество человек,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приходящихся на 1 км2. Первичной продуктивностью называется прирост биомассы растений за единицу времени на единице площади. Вторичной продуктивностью является биомасса, образованная гетеротрофными организмами за единицу времени на единице площади. Биомассой называется общая совокупность растительных и животных организмов, присутствующая в биогеоценозе в момент наблюдения.</w:t>
      </w:r>
      <w:r w:rsidR="009E0FC3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717" w:rsidRDefault="00314FF9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биогеоценоз при изменении климатических или других условий (лесной пожар, хозяйственная деятельность человека и пр.) может закономерно изменять свои сообщества, то есть на его месте развивается более приспособленный к новым условиям биогеоценоз. </w:t>
      </w:r>
    </w:p>
    <w:p w:rsidR="00CE1717" w:rsidRPr="00314FF9" w:rsidRDefault="00CE1717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мир биогеоценозов разнообразен. Он состоит из простейших, губок, кишечнополостных, червей, членистоногих, птиц, млекопитающих и т. д. Животные заселяют наземную часть сухопутных БГЦ, почву, водные экосистемы.</w:t>
      </w:r>
      <w:r w:rsidR="00F05B8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6CC5" w:rsidRPr="00314FF9" w:rsidRDefault="00306CC5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7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опуляция, являясь структурной единицей биогеоценоза (экосистемы), выполняет одну из главнейших его функций, а именно участвует в биологическом круговороте. В данном случае реализуется видоспецифическая особенность типа обмена веществ. </w:t>
      </w:r>
      <w:r w:rsidR="00F05B8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популяцией понимают исторически сложившуюся естественную общность особей живых организмов одного вида, связанных генетически, населяющих общие места обитания и реализующих закономерные функциональные взаимодействия.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Популяция представляет вид в экосистеме и все межвидовые взаимоотношения осуществляются в ней на популяционном уровне. Устойчивая реализация функции участия в биогенных процессах определяется специфическими механизмами авторегуляции, которые создают условия самоподцержания популяции как системы в изменяющихся внутренних и внешних факторах среды обитания</w:t>
      </w:r>
      <w:r w:rsidRPr="00CE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C21DB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 фактором, регулирующим численность популяций в биогеоценозе являются кормовые ресурсы. Популяция обычно насчитывает столько особей, сколько их может прокормиться на занимаемой территории. Структура биогеоценозов складывается в процессе эволюции, которая приводит к тому, что каждый вид занимает в экосистеме определенную нишу, т.е. место расположения данного вида в пространстве и в цепи питания. </w:t>
      </w:r>
    </w:p>
    <w:p w:rsidR="00306CC5" w:rsidRDefault="00306CC5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Организмы населяют биосферу и входят в тот или иной биогеоценоз не в любом сочетании, а образуют определенное сообщество из видов, приспособленных к совместному обитанию. Группы совместно обитающих и взаимосвязанных видов в биогеоценозах называются биоценозами. Общее число видов в биоценозах достигает многих десятков и сотен. Члены биоценоза имеют сходство в их отношении к абиотическим факторам среды. Место, в котором они обитают, называется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экотопом.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вид внутри биоценоза занимает то положение, которое отвечает его жизненным потребностям. Поэтому положение вида в пространстве, его функционирующая роль в биоценозе, связи с другими видами и отношение к биотопам определяют экологическую нишу вида.</w:t>
      </w:r>
      <w:r w:rsidR="008C44E5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44E5" w:rsidRPr="00314FF9" w:rsidRDefault="008C44E5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Фитоценоз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только из растений сообщества, биоценоз - из фитоценоза и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зооценоза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биогеоценоз - из фитоценоза, зооценоза, воды и атмосферы. </w:t>
      </w:r>
    </w:p>
    <w:p w:rsidR="009009F3" w:rsidRDefault="00306CC5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 круговорот, являясь частью большого, происходит на уровне биогеоценоза и заключается в том, что питательные вещества почвы, воды, воздуха аккумулируются в растениях, расходуются на создание их массы и жизненные процессы в них. Продукты распада органического вещества под воздействием бактерий вновь разлагаются до минеральных компонентов, доступных растениям, и вовлекаются ими в поток вещества.</w:t>
      </w:r>
      <w:r w:rsidR="005C21DB"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09F3" w:rsidRDefault="009009F3" w:rsidP="005C21DB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1DB" w:rsidRPr="009009F3" w:rsidRDefault="005C21DB" w:rsidP="005C21DB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Взаимосвязь и взаимозависимость всех компонентов БГЦ</w:t>
      </w:r>
    </w:p>
    <w:p w:rsidR="005C21DB" w:rsidRPr="00314FF9" w:rsidRDefault="005C21DB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важнейших свойств биогеоценоза - взаимосвязь и взаимозависимость всех его компонентов. Вполне понятно, что климат всецело обуславливает состояние и режим почвенных факторов, создает среду обитания живых организмов. В свою очередь почва в какой-то степени определяет климатические особенности (например, от окраски поверхности почвы зависит ее отражательная способность - альбедо, а значит, прогреваемость, влажность воздуха), а также влияет на животных, растения и микроорганизмы. Все живые организмы теснейшим образом связаны между, собой, являясь друг для друга либо источником пищи, либо средой .обитания, либо факторами смертности. Особенно важна роль микроорганизмов (в первую очередь бактерий) в процессах почвообразования, минерализации органических веществ и нередко выступающих в качестве .возбудителей заболеваний растений и животных.</w:t>
      </w:r>
      <w:r w:rsidRPr="005C2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Живучесть — свойство, характеризующее действительные показатели экологической защиты экосистемы и проявляющееся в способности биогеоценозов ландшафта к самовосстановлению. </w:t>
      </w:r>
    </w:p>
    <w:p w:rsidR="005C21DB" w:rsidRPr="00306CC5" w:rsidRDefault="005C21DB" w:rsidP="005C21DB">
      <w:pPr>
        <w:spacing w:after="24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Термины "экологическая система" и "биогеоценоз" не являются синонимами. </w:t>
      </w:r>
    </w:p>
    <w:p w:rsidR="005C21DB" w:rsidRPr="00314FF9" w:rsidRDefault="005C21DB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Экологическая система есть любая совокупность организмов и окружающей их среды. Так, в качестве экосистемы можно рассматривать, например, горшок с цветком, террариум, фитотрон, пилотируемый космический корабль. У всех названных совокупностей организмов и среды отсутствует ряд признаков, приведенных в определении В. Н. Сукачева, и в первую очередь элемент "гео" — Земля. Биогеоценозы - это природные образования. В то же время биогеоценоз может рассматриваться и как экологическая система. Таким образом, понятие "экосистема" шире, чем "биогеоценоз". Любой биогеоценоз является экологической системой, но не всякая экологическая система есть биогеоценоз. Кроме того, совокупность организмов в таких экосистемах не является популяцией. Отсюда более точное определение: экосистема - это совокупность живых организмов и окружающей их среды. </w:t>
      </w:r>
    </w:p>
    <w:p w:rsidR="005C21DB" w:rsidRDefault="005C21DB" w:rsidP="005C21DB">
      <w:pPr>
        <w:rPr>
          <w:rFonts w:ascii="Times New Roman" w:hAnsi="Times New Roman" w:cs="Times New Roman"/>
          <w:b/>
          <w:sz w:val="24"/>
          <w:szCs w:val="24"/>
        </w:rPr>
      </w:pPr>
      <w:r w:rsidRPr="00F05B85">
        <w:rPr>
          <w:rFonts w:ascii="Times New Roman" w:hAnsi="Times New Roman" w:cs="Times New Roman"/>
          <w:b/>
          <w:sz w:val="24"/>
          <w:szCs w:val="24"/>
        </w:rPr>
        <w:t>Биогеоценозы искусственные – агроценозы.</w:t>
      </w:r>
    </w:p>
    <w:p w:rsidR="005C21DB" w:rsidRDefault="005C21DB" w:rsidP="009E0FC3">
      <w:pPr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искусственной среде ферменного биогеоценоза формируется биоценоз, отличный от коренного, природного. Основной компонент биоценоза — популяция сельскохозяйственных млекопитающих и птиц. Как доминанты-эдификаторы сельскохозяйственные животные во многом определяют микроклимат (зооклимат) в животноводческом помещении и, таким образом, косвенно влияют на формирование и развитие ферменного биоценоза. Растительный мир биоценоза составляют главным образом разные виды микрофлоры, иногда болезнетворной (</w:t>
      </w:r>
      <w:r w:rsidRPr="00CE1717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патогенной) для животных («хлеб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ная микрофлора»). Фауна сообщества может быть представлена разными видами животных. Некоторые из них являются возбудителями (например, патогенные гельминты) и переносчиками заразных болезней сельскохозяйственных животных (например, голуби, мыши, крысы).</w:t>
      </w:r>
    </w:p>
    <w:p w:rsidR="005C21DB" w:rsidRPr="00314FF9" w:rsidRDefault="005C21DB" w:rsidP="009009F3">
      <w:pPr>
        <w:spacing w:after="2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>В окрестностях завода ггервая колония кротов обнаружена на расстоянии 16 км от центра выбросов, отловы полевок имели место не ближе 7 8 км, а бурозубок в 3 4 км. Причем на этих расстояниях от завода животные не обитают постоянно, а заходят лишь временно. Это означает , что биогеоценоз при увеличении антропогенной нагрузки упрощается в первую очередь за счет выпадания или резкого 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ращения консументов. </w:t>
      </w:r>
      <w:r w:rsidRPr="0031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4FF9" w:rsidRPr="00CE1717" w:rsidRDefault="00314FF9" w:rsidP="00CE171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1228"/>
        <w:gridCol w:w="6948"/>
      </w:tblGrid>
      <w:tr w:rsidR="00314FF9" w:rsidRPr="00314FF9" w:rsidTr="00CE1717">
        <w:trPr>
          <w:tblCellSpacing w:w="15" w:type="dxa"/>
        </w:trPr>
        <w:tc>
          <w:tcPr>
            <w:tcW w:w="746" w:type="pct"/>
            <w:vAlign w:val="center"/>
            <w:hideMark/>
          </w:tcPr>
          <w:p w:rsidR="00314FF9" w:rsidRPr="00314FF9" w:rsidRDefault="00314FF9" w:rsidP="0031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Схема биогеоценоза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4FF9" w:rsidRPr="00314FF9" w:rsidRDefault="00314FF9" w:rsidP="0031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E7D05"/>
                <w:sz w:val="24"/>
                <w:szCs w:val="24"/>
              </w:rPr>
              <w:drawing>
                <wp:inline distT="0" distB="0" distL="0" distR="0">
                  <wp:extent cx="5515920" cy="8497575"/>
                  <wp:effectExtent l="19050" t="0" r="8580" b="0"/>
                  <wp:docPr id="1" name="Рисунок 1" descr="Схема биогеоценоз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биогеоценоз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2" cy="851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FF9" w:rsidRPr="00314FF9" w:rsidTr="00CE1717">
        <w:trPr>
          <w:tblCellSpacing w:w="15" w:type="dxa"/>
        </w:trPr>
        <w:tc>
          <w:tcPr>
            <w:tcW w:w="1538" w:type="pct"/>
            <w:gridSpan w:val="2"/>
            <w:vAlign w:val="center"/>
            <w:hideMark/>
          </w:tcPr>
          <w:p w:rsidR="00314FF9" w:rsidRPr="00314FF9" w:rsidRDefault="00314FF9" w:rsidP="0031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Схема биогеоценоза (по Г. А. Новикову, 1979)</w:t>
            </w:r>
          </w:p>
        </w:tc>
        <w:tc>
          <w:tcPr>
            <w:tcW w:w="0" w:type="auto"/>
            <w:vAlign w:val="center"/>
            <w:hideMark/>
          </w:tcPr>
          <w:p w:rsidR="00314FF9" w:rsidRPr="00314FF9" w:rsidRDefault="00314FF9" w:rsidP="0031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E7D05"/>
                <w:sz w:val="24"/>
                <w:szCs w:val="24"/>
              </w:rPr>
              <w:drawing>
                <wp:inline distT="0" distB="0" distL="0" distR="0">
                  <wp:extent cx="5030717" cy="8263372"/>
                  <wp:effectExtent l="19050" t="0" r="0" b="0"/>
                  <wp:docPr id="2" name="Рисунок 2" descr="Схема биогеоценоза (по Г. А. Новикову, 1979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биогеоценоза (по Г. А. Новикову, 1979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087" cy="82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FF9" w:rsidRPr="00314FF9" w:rsidRDefault="00314FF9" w:rsidP="00CE1717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1DB" w:rsidRDefault="005C21DB" w:rsidP="00CE1717">
      <w:pPr>
        <w:spacing w:after="24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21DB" w:rsidRDefault="005C21DB" w:rsidP="00CE1717">
      <w:pPr>
        <w:spacing w:after="24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7937"/>
      </w:tblGrid>
      <w:tr w:rsidR="00314FF9" w:rsidRPr="00314FF9" w:rsidTr="005C21DB">
        <w:trPr>
          <w:tblCellSpacing w:w="15" w:type="dxa"/>
        </w:trPr>
        <w:tc>
          <w:tcPr>
            <w:tcW w:w="1585" w:type="pct"/>
            <w:vAlign w:val="center"/>
            <w:hideMark/>
          </w:tcPr>
          <w:p w:rsidR="00314FF9" w:rsidRPr="00314FF9" w:rsidRDefault="00AE5936" w:rsidP="0031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14FF9" w:rsidRPr="00314FF9">
              <w:rPr>
                <w:rFonts w:ascii="Times New Roman" w:eastAsia="Times New Roman" w:hAnsi="Times New Roman" w:cs="Times New Roman"/>
                <w:sz w:val="24"/>
                <w:szCs w:val="24"/>
              </w:rPr>
              <w:t>ищевые взаимосвязи организмов в биогеоценозе (по И. Н. Пономаревой, 1978)</w:t>
            </w:r>
          </w:p>
        </w:tc>
        <w:tc>
          <w:tcPr>
            <w:tcW w:w="0" w:type="auto"/>
            <w:vAlign w:val="center"/>
            <w:hideMark/>
          </w:tcPr>
          <w:p w:rsidR="00314FF9" w:rsidRPr="00314FF9" w:rsidRDefault="00314FF9" w:rsidP="0031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E7D05"/>
                <w:sz w:val="24"/>
                <w:szCs w:val="24"/>
              </w:rPr>
              <w:drawing>
                <wp:inline distT="0" distB="0" distL="0" distR="0">
                  <wp:extent cx="5031068" cy="8210019"/>
                  <wp:effectExtent l="19050" t="0" r="0" b="0"/>
                  <wp:docPr id="3" name="Рисунок 3" descr="Пищевые взаимосвязи организмов в биогеоценозе (по И. Н. Пономаревой, 1978)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щевые взаимосвязи организмов в биогеоценозе (по И. Н. Пономаревой, 1978)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716" cy="824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FF9" w:rsidRDefault="00501495" w:rsidP="00CE1717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Итог изученной темы: </w:t>
      </w:r>
    </w:p>
    <w:p w:rsidR="00501495" w:rsidRDefault="00501495" w:rsidP="00501495">
      <w:pPr>
        <w:pStyle w:val="a7"/>
        <w:numPr>
          <w:ilvl w:val="0"/>
          <w:numId w:val="2"/>
        </w:num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в тетради.</w:t>
      </w:r>
    </w:p>
    <w:p w:rsidR="00501495" w:rsidRDefault="00501495" w:rsidP="00501495">
      <w:pPr>
        <w:pStyle w:val="a7"/>
        <w:numPr>
          <w:ilvl w:val="0"/>
          <w:numId w:val="2"/>
        </w:num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понятий, схем, дат, имен ученых, их достижений в науке.</w:t>
      </w:r>
    </w:p>
    <w:p w:rsidR="00501495" w:rsidRPr="00501495" w:rsidRDefault="00501495" w:rsidP="00501495">
      <w:pPr>
        <w:pStyle w:val="a7"/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Прислать к  21.04.2020 г. фото работы. У каждого обучающегося должен быть – «ЗАЧЕТ».</w:t>
      </w:r>
    </w:p>
    <w:p w:rsidR="00F05B85" w:rsidRDefault="00F05B85" w:rsidP="00314FF9"/>
    <w:p w:rsidR="00314FF9" w:rsidRPr="00F05B85" w:rsidRDefault="00501495" w:rsidP="00501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УСПЕХОВ!</w:t>
      </w:r>
    </w:p>
    <w:sectPr w:rsidR="00314FF9" w:rsidRPr="00F05B85" w:rsidSect="0098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2B" w:rsidRDefault="00A1332B" w:rsidP="00CE1717">
      <w:pPr>
        <w:spacing w:after="0" w:line="240" w:lineRule="auto"/>
      </w:pPr>
      <w:r>
        <w:separator/>
      </w:r>
    </w:p>
  </w:endnote>
  <w:endnote w:type="continuationSeparator" w:id="1">
    <w:p w:rsidR="00A1332B" w:rsidRDefault="00A1332B" w:rsidP="00CE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2B" w:rsidRDefault="00A1332B" w:rsidP="00CE1717">
      <w:pPr>
        <w:spacing w:after="0" w:line="240" w:lineRule="auto"/>
      </w:pPr>
      <w:r>
        <w:separator/>
      </w:r>
    </w:p>
  </w:footnote>
  <w:footnote w:type="continuationSeparator" w:id="1">
    <w:p w:rsidR="00A1332B" w:rsidRDefault="00A1332B" w:rsidP="00CE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6D18"/>
    <w:multiLevelType w:val="hybridMultilevel"/>
    <w:tmpl w:val="8AEC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6B43"/>
    <w:multiLevelType w:val="hybridMultilevel"/>
    <w:tmpl w:val="1E1E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FF9"/>
    <w:rsid w:val="00306CC5"/>
    <w:rsid w:val="00314FF9"/>
    <w:rsid w:val="00501495"/>
    <w:rsid w:val="005C21DB"/>
    <w:rsid w:val="008C44E5"/>
    <w:rsid w:val="009009F3"/>
    <w:rsid w:val="009867C2"/>
    <w:rsid w:val="009E0FC3"/>
    <w:rsid w:val="00A1332B"/>
    <w:rsid w:val="00AE5936"/>
    <w:rsid w:val="00CE1717"/>
    <w:rsid w:val="00CE5760"/>
    <w:rsid w:val="00F0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2"/>
  </w:style>
  <w:style w:type="paragraph" w:styleId="2">
    <w:name w:val="heading 2"/>
    <w:basedOn w:val="a"/>
    <w:link w:val="20"/>
    <w:uiPriority w:val="9"/>
    <w:qFormat/>
    <w:rsid w:val="00314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4F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1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F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593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1717"/>
  </w:style>
  <w:style w:type="paragraph" w:styleId="aa">
    <w:name w:val="footer"/>
    <w:basedOn w:val="a"/>
    <w:link w:val="ab"/>
    <w:uiPriority w:val="99"/>
    <w:semiHidden/>
    <w:unhideWhenUsed/>
    <w:rsid w:val="00CE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1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ecology.info/pics/201954500310005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466203093034952944&amp;parent-reqid=1586633824069144-1724540584725735594100328-production-app-host-sas-web-yp-110&amp;path=wizard&amp;text=%D0%9F%D0%BE%D0%BD%D1%8F%D1%82%D0%B8%D0%B5+%D0%BE+%D0%B1%D0%B8%D0%BE%D0%B3%D0%B5%D0%BE%D1%86%D0%B5%D0%BD%D0%BE%D0%B7%D0%B0%D1%85" TargetMode="External"/><Relationship Id="rId12" Type="http://schemas.openxmlformats.org/officeDocument/2006/relationships/hyperlink" Target="https://ru-ecology.info/pics/200693701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-ecology.info/pics/2007874002800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2020-04-11T19:44:00Z</dcterms:created>
  <dcterms:modified xsi:type="dcterms:W3CDTF">2020-04-16T05:57:00Z</dcterms:modified>
</cp:coreProperties>
</file>